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73E" w:rsidRPr="00B70FFF" w:rsidRDefault="0034773E" w:rsidP="009F4C1A">
      <w:pPr>
        <w:contextualSpacing/>
        <w:jc w:val="right"/>
        <w:rPr>
          <w:b/>
          <w:sz w:val="23"/>
          <w:szCs w:val="23"/>
        </w:rPr>
      </w:pPr>
      <w:r w:rsidRPr="00B70FFF">
        <w:rPr>
          <w:b/>
          <w:sz w:val="23"/>
          <w:szCs w:val="23"/>
        </w:rPr>
        <w:t xml:space="preserve">Приложение № </w:t>
      </w:r>
      <w:r w:rsidR="008E49C7">
        <w:rPr>
          <w:b/>
          <w:sz w:val="23"/>
          <w:szCs w:val="23"/>
        </w:rPr>
        <w:t>17</w:t>
      </w:r>
    </w:p>
    <w:p w:rsidR="00424E50" w:rsidRPr="00B10F41" w:rsidRDefault="0034773E" w:rsidP="009F4C1A">
      <w:pPr>
        <w:contextualSpacing/>
        <w:jc w:val="right"/>
        <w:rPr>
          <w:b/>
        </w:rPr>
      </w:pPr>
      <w:r w:rsidRPr="00B70FFF">
        <w:rPr>
          <w:b/>
          <w:sz w:val="23"/>
          <w:szCs w:val="23"/>
        </w:rPr>
        <w:t xml:space="preserve">к Договору </w:t>
      </w:r>
      <w:r w:rsidRPr="00B10F41">
        <w:rPr>
          <w:b/>
          <w:sz w:val="23"/>
          <w:szCs w:val="23"/>
        </w:rPr>
        <w:t xml:space="preserve">№ </w:t>
      </w:r>
      <w:r w:rsidR="00424E50" w:rsidRPr="00B10F41">
        <w:rPr>
          <w:b/>
          <w:color w:val="000000"/>
        </w:rPr>
        <w:t>КО/</w:t>
      </w:r>
      <w:r w:rsidR="00424E50" w:rsidRPr="008E49C7">
        <w:rPr>
          <w:b/>
          <w:color w:val="000000"/>
          <w:highlight w:val="yellow"/>
        </w:rPr>
        <w:t>___/</w:t>
      </w:r>
      <w:r w:rsidR="00424E50" w:rsidRPr="00B10F41">
        <w:rPr>
          <w:b/>
          <w:color w:val="000000"/>
        </w:rPr>
        <w:t>2024</w:t>
      </w:r>
    </w:p>
    <w:p w:rsidR="00424E50" w:rsidRPr="00F348FF" w:rsidRDefault="00424E50" w:rsidP="009F4C1A">
      <w:pPr>
        <w:contextualSpacing/>
        <w:jc w:val="right"/>
        <w:rPr>
          <w:b/>
        </w:rPr>
      </w:pPr>
      <w:r w:rsidRPr="00B10F41">
        <w:rPr>
          <w:b/>
        </w:rPr>
        <w:t xml:space="preserve">от </w:t>
      </w:r>
      <w:r w:rsidRPr="008E49C7">
        <w:rPr>
          <w:b/>
          <w:highlight w:val="yellow"/>
        </w:rPr>
        <w:t>«</w:t>
      </w:r>
      <w:r w:rsidR="00216B01" w:rsidRPr="008E49C7">
        <w:rPr>
          <w:b/>
          <w:color w:val="000000"/>
          <w:highlight w:val="yellow"/>
        </w:rPr>
        <w:t>__</w:t>
      </w:r>
      <w:r w:rsidRPr="008E49C7">
        <w:rPr>
          <w:b/>
          <w:color w:val="000000"/>
          <w:highlight w:val="yellow"/>
        </w:rPr>
        <w:t xml:space="preserve">» </w:t>
      </w:r>
      <w:r w:rsidR="00216B01" w:rsidRPr="008E49C7">
        <w:rPr>
          <w:b/>
          <w:color w:val="000000"/>
          <w:highlight w:val="yellow"/>
        </w:rPr>
        <w:t>_______</w:t>
      </w:r>
      <w:r w:rsidRPr="008E49C7">
        <w:rPr>
          <w:b/>
          <w:color w:val="000000"/>
          <w:highlight w:val="yellow"/>
        </w:rPr>
        <w:t xml:space="preserve"> </w:t>
      </w:r>
      <w:r w:rsidRPr="00B10F41">
        <w:rPr>
          <w:b/>
          <w:color w:val="000000"/>
        </w:rPr>
        <w:t>2024 г</w:t>
      </w:r>
      <w:r w:rsidRPr="00B10F41">
        <w:rPr>
          <w:b/>
        </w:rPr>
        <w:t>.</w:t>
      </w:r>
    </w:p>
    <w:p w:rsidR="006F6A01" w:rsidRPr="00F23EC1" w:rsidRDefault="006F6A01" w:rsidP="00424E50">
      <w:pPr>
        <w:ind w:left="63" w:right="53" w:firstLine="6174"/>
        <w:jc w:val="right"/>
        <w:rPr>
          <w:b/>
        </w:rPr>
      </w:pPr>
    </w:p>
    <w:p w:rsidR="006F6A01" w:rsidRPr="00F23EC1" w:rsidRDefault="006F6A01" w:rsidP="006F6A01">
      <w:pPr>
        <w:ind w:left="63" w:right="53"/>
        <w:jc w:val="center"/>
        <w:rPr>
          <w:b/>
        </w:rPr>
      </w:pPr>
    </w:p>
    <w:p w:rsidR="006F6A01" w:rsidRPr="00F23EC1" w:rsidRDefault="006F6A01" w:rsidP="006F6A01">
      <w:pPr>
        <w:ind w:left="63" w:right="53"/>
        <w:jc w:val="center"/>
        <w:rPr>
          <w:b/>
        </w:rPr>
      </w:pPr>
      <w:r w:rsidRPr="00F23EC1">
        <w:rPr>
          <w:b/>
        </w:rPr>
        <w:t>СОГЛАШЕНИЕ ОБ ЭЛЕКТРОННОМ ДОКУМЕНТООБОРОТЕ</w:t>
      </w:r>
    </w:p>
    <w:p w:rsidR="006F6A01" w:rsidRPr="00F23EC1" w:rsidRDefault="006F6A01" w:rsidP="006F6A01">
      <w:pPr>
        <w:ind w:left="63" w:right="-1"/>
        <w:jc w:val="center"/>
        <w:rPr>
          <w:b/>
        </w:rPr>
      </w:pP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 xml:space="preserve">Настоящим Стороны соглашаются применять защищенный электронный документооборот (ЭДО) при исполнении своих обязательств по Договору в части обмена документами по Договору, а именно Договором, дополнительными соглашениями, приложениями, спецификациям, заявками, заказами, соглашениями о расторжении Договора, соглашениями о расторжении/изменении спецификаций, иными соглашениями, заключаемыми в соответствии с Договором, товарными накладными, актами оказанных услуг (выполненных работ), отказами от подписания актов оказанных услуг (выполненных работ), счетами-фактурами, корректировочными счетами-фактурами, универсальными передаточными документами, корректировочными универсальными передаточными документами, счетами, актами сверки, иными документами бухгалтерского и налогового учета, в форматах в соответствии с Приложением № 1 к настоящему </w:t>
      </w:r>
      <w:r w:rsidR="008A0C07">
        <w:rPr>
          <w:bCs/>
        </w:rPr>
        <w:t>С</w:t>
      </w:r>
      <w:r w:rsidRPr="00F23EC1">
        <w:rPr>
          <w:bCs/>
        </w:rPr>
        <w:t xml:space="preserve">оглашению. 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 xml:space="preserve">Для целей настоящего </w:t>
      </w:r>
      <w:r w:rsidR="008A0C07">
        <w:rPr>
          <w:bCs/>
        </w:rPr>
        <w:t>С</w:t>
      </w:r>
      <w:r w:rsidRPr="00F23EC1">
        <w:rPr>
          <w:bCs/>
        </w:rPr>
        <w:t>оглашения используются следующие понятия и определения:</w:t>
      </w:r>
    </w:p>
    <w:p w:rsidR="006F6A01" w:rsidRPr="00F23EC1" w:rsidRDefault="006F6A01" w:rsidP="006F6A01">
      <w:pPr>
        <w:numPr>
          <w:ilvl w:val="1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Электронная подпись (ЭП) − усиленная квалифицированная электронная подпись, соответствующая требованиям Федерального закона от 06.04.2011 №</w:t>
      </w:r>
      <w:r w:rsidR="00B10F41">
        <w:rPr>
          <w:bCs/>
        </w:rPr>
        <w:t xml:space="preserve"> </w:t>
      </w:r>
      <w:r w:rsidRPr="00F23EC1">
        <w:rPr>
          <w:bCs/>
        </w:rPr>
        <w:t>63-ФЗ «Об электронной подписи» и действующему законодательству РФ в сфере электронной подписи.</w:t>
      </w:r>
    </w:p>
    <w:p w:rsidR="006F6A01" w:rsidRPr="00F23EC1" w:rsidRDefault="006F6A01" w:rsidP="006F6A01">
      <w:pPr>
        <w:numPr>
          <w:ilvl w:val="1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Электронный документооборот (ЭДО) – процесс обмена между Сторонами через Оператора или напрямую в порядке, предусмотренном настоящим Соглашением, документами, составленными в электронном виде и подписанными ЭП соответствующей Стороны.</w:t>
      </w:r>
    </w:p>
    <w:p w:rsidR="006F6A01" w:rsidRPr="00F23EC1" w:rsidRDefault="006F6A01" w:rsidP="006F6A01">
      <w:pPr>
        <w:numPr>
          <w:ilvl w:val="1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Электронный документ – документ, направляемый/получаемый посредством электронного документооборота;</w:t>
      </w:r>
    </w:p>
    <w:p w:rsidR="006F6A01" w:rsidRPr="00F23EC1" w:rsidRDefault="006F6A01" w:rsidP="006F6A01">
      <w:pPr>
        <w:numPr>
          <w:ilvl w:val="1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 xml:space="preserve">Оператор – российская организация, соответствующая требованиям законодательства РФ и обеспечивающая обмен информацией по телекоммуникационным каналам связи в рамках электронного документооборота между Сторонами в системе ЭДО. </w:t>
      </w:r>
    </w:p>
    <w:p w:rsidR="006F6A01" w:rsidRPr="00F23EC1" w:rsidRDefault="006F6A01" w:rsidP="006F6A01">
      <w:pPr>
        <w:numPr>
          <w:ilvl w:val="1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Удостоверяющий центр (УЦ) – юридическое лицо или индивидуальный предприниматель, осуществляющий функции по созданию и выдаче сертификатов ключей проверки электронных подписей, а также иные функции, предусмотренные Федеральным законом от 06.04.2011 №</w:t>
      </w:r>
      <w:r w:rsidR="00B10F41">
        <w:rPr>
          <w:bCs/>
        </w:rPr>
        <w:t xml:space="preserve"> </w:t>
      </w:r>
      <w:r w:rsidRPr="00F23EC1">
        <w:rPr>
          <w:bCs/>
        </w:rPr>
        <w:t xml:space="preserve">63-ФЗ «Об электронной подписи». 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Стороны обязуются направлять и получать электронные документы, оформляемые при исполнении Договора, соглашаются признавать полученные (направленные) электронные документы равнозначными аналогичным документам на бумажных носителях с собственноручной подписью уполномоченных лиц стороны и заверенных печатью Стороны (если применимо).</w:t>
      </w:r>
    </w:p>
    <w:p w:rsidR="006F6A01" w:rsidRPr="00F23EC1" w:rsidRDefault="006F6A01" w:rsidP="006F6A01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 xml:space="preserve">В целях настоящего </w:t>
      </w:r>
      <w:r w:rsidR="008A0C07">
        <w:rPr>
          <w:bCs/>
        </w:rPr>
        <w:t>С</w:t>
      </w:r>
      <w:r w:rsidRPr="00F23EC1">
        <w:rPr>
          <w:bCs/>
        </w:rPr>
        <w:t>оглашения Стороны обязуются и признают в качестве надлежаще подписанных только документы, подписанные усиленной квалифицированной электронной подписью, соответствующей требованиям Федерального закона от 06.04.2011 №</w:t>
      </w:r>
      <w:r w:rsidR="00B10F41">
        <w:rPr>
          <w:bCs/>
        </w:rPr>
        <w:t xml:space="preserve"> </w:t>
      </w:r>
      <w:r w:rsidRPr="00F23EC1">
        <w:rPr>
          <w:bCs/>
        </w:rPr>
        <w:t>63-ФЗ «Об электронной подписи» и действующему законодательству РФ в сфере электронной подписи.</w:t>
      </w:r>
      <w:r w:rsidRPr="00F23EC1">
        <w:t xml:space="preserve"> </w:t>
      </w:r>
      <w:r w:rsidRPr="00F23EC1">
        <w:rPr>
          <w:bCs/>
        </w:rPr>
        <w:t xml:space="preserve"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</w:t>
      </w:r>
      <w:r w:rsidR="008A0C07">
        <w:rPr>
          <w:bCs/>
        </w:rPr>
        <w:t>С</w:t>
      </w:r>
      <w:r w:rsidRPr="00F23EC1">
        <w:rPr>
          <w:bCs/>
        </w:rPr>
        <w:t>оглашением.</w:t>
      </w:r>
    </w:p>
    <w:p w:rsidR="006F6A01" w:rsidRPr="00F23EC1" w:rsidRDefault="006F6A01" w:rsidP="00F00BD9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 xml:space="preserve">Стороны в течение 10 (десяти) рабочих дней после подписания настоящего </w:t>
      </w:r>
      <w:r w:rsidR="008A0C07">
        <w:rPr>
          <w:bCs/>
        </w:rPr>
        <w:t>С</w:t>
      </w:r>
      <w:r w:rsidRPr="00F23EC1">
        <w:rPr>
          <w:bCs/>
        </w:rPr>
        <w:t>оглашения обязуются за свой счет получить сертификаты ЭП. В течение всего срока действия настоящего Соглашения Стороны обязаны использовать действующие сертификаты ЭП.</w:t>
      </w:r>
    </w:p>
    <w:p w:rsidR="006F6A01" w:rsidRPr="00F23EC1" w:rsidRDefault="006F6A01" w:rsidP="00F00BD9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>До начала осуществления обмена электронными документами Стороны должны оформить и представить Оператору заявление об осуществлении ЭДО, а также получить у Оператора идентификатор участника обмена, реквизиты доступа и другие необходимые данные.</w:t>
      </w:r>
    </w:p>
    <w:p w:rsidR="006F6A01" w:rsidRPr="00F23EC1" w:rsidRDefault="006F6A01" w:rsidP="00F00BD9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 xml:space="preserve">Приобретение, установка и функционирование программного обеспечения, каналов связи, средств криптографической защиты информации (СКЗИ) с функциями ЭП осуществляется </w:t>
      </w:r>
      <w:r w:rsidRPr="00F23EC1">
        <w:rPr>
          <w:bCs/>
        </w:rPr>
        <w:lastRenderedPageBreak/>
        <w:t>Сторонами самостоятельно за свой собственный счет с учетом их технических возможностей.</w:t>
      </w:r>
    </w:p>
    <w:p w:rsidR="006F6A01" w:rsidRPr="00F23EC1" w:rsidRDefault="006F6A01" w:rsidP="00F00BD9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>Условия использования средств ЭП, порядок проверки ЭП, правила обращения с ключами и сертификатами ЭП, порядок обмена электронными документами устанавливаются договорами, заключаемыми соответствующей Стороной с УЦ и Оператором, нормативными локальными документами (регламентами) УЦ и Оператора, действующими нормативными правовыми актами РФ.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Стороны обязаны информировать друг друга о невозможности обмена документами в электронном виде, подписанными ЭП, в том числе и при техническом сбое внутренних систем Стороны. В этом случае на период такой невозможности обмена Стороны производят обмен документами на бумажном носителе с подписанием собственноручной подписью уполномоченного лица и заверенные печатью Стороны (если применимо).</w:t>
      </w:r>
    </w:p>
    <w:p w:rsidR="006F6A01" w:rsidRPr="00F23EC1" w:rsidRDefault="006F6A01" w:rsidP="006F6A01">
      <w:pPr>
        <w:tabs>
          <w:tab w:val="left" w:pos="0"/>
        </w:tabs>
        <w:autoSpaceDE w:val="0"/>
        <w:autoSpaceDN w:val="0"/>
        <w:ind w:firstLine="284"/>
        <w:jc w:val="both"/>
        <w:rPr>
          <w:bCs/>
        </w:rPr>
      </w:pPr>
      <w:r w:rsidRPr="00F23EC1">
        <w:rPr>
          <w:bCs/>
        </w:rPr>
        <w:t>Сторона, для которой возникла невозможность осуществления электронного документооборота, должна незамедлительно уведомить другую Сторону о переходе на бумажный документооборот путем направления письменного уведомления в произвольной форме посредством электронной почты. При этом Стороны не должны дублировать направление в электронном виде тех документов, которые были направлены на бумажном носителе.</w:t>
      </w:r>
    </w:p>
    <w:p w:rsidR="006F6A01" w:rsidRPr="00F23EC1" w:rsidRDefault="006F6A01" w:rsidP="006F6A01">
      <w:pPr>
        <w:tabs>
          <w:tab w:val="left" w:pos="0"/>
        </w:tabs>
        <w:autoSpaceDE w:val="0"/>
        <w:autoSpaceDN w:val="0"/>
        <w:ind w:firstLine="284"/>
        <w:jc w:val="both"/>
        <w:rPr>
          <w:bCs/>
        </w:rPr>
      </w:pPr>
      <w:r w:rsidRPr="00F23EC1">
        <w:rPr>
          <w:bCs/>
        </w:rPr>
        <w:t>После прекращения обстоятельств, повлекших невозможность использования Стороной системы ЭДО, Сторона немедленно, но не позднее 2 (двух) рабочих дней с даты такого прекращения, письменно информирует другую Сторону о прекращении действия обстоятельств,</w:t>
      </w:r>
      <w:r w:rsidRPr="00F23EC1">
        <w:t xml:space="preserve"> </w:t>
      </w:r>
      <w:r w:rsidRPr="00F23EC1">
        <w:rPr>
          <w:bCs/>
        </w:rPr>
        <w:t xml:space="preserve">повлекших невозможность использования Стороной системы ЭДО, с указанием даты возобновления использования ЭДО. Такое уведомление может быть направлено другой Стороне посредством электронной почты. 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Ключ ЭП выдается Сторонами только тем лицам, которые надлежащим образом уполномочены на совершение действий в рамках осуществления ЭДО. При этом Сторона в случае прекращения полномочий соответствующего лица, обязана незамедлительно письменно сообщить другой Стороне и Оператору о соответствующем факте, допускается направление такого письменного сообщения посредством электронной почты.</w:t>
      </w:r>
      <w:r w:rsidRPr="00F23EC1">
        <w:t xml:space="preserve"> </w:t>
      </w:r>
      <w:r w:rsidRPr="00F23EC1">
        <w:rPr>
          <w:bCs/>
        </w:rPr>
        <w:t xml:space="preserve">До момента получения такого уведомления Сторона вправе считать полномочия соответствующего лица, имеющего ЭП другой Стороны, действующими. </w:t>
      </w:r>
    </w:p>
    <w:p w:rsidR="006F6A01" w:rsidRPr="00F23EC1" w:rsidRDefault="006F6A01" w:rsidP="006F6A01">
      <w:pPr>
        <w:widowControl w:val="0"/>
        <w:numPr>
          <w:ilvl w:val="0"/>
          <w:numId w:val="4"/>
        </w:numPr>
        <w:tabs>
          <w:tab w:val="left" w:pos="0"/>
        </w:tabs>
        <w:ind w:left="0" w:firstLine="284"/>
        <w:contextualSpacing/>
        <w:jc w:val="both"/>
        <w:rPr>
          <w:bCs/>
        </w:rPr>
      </w:pPr>
      <w:r w:rsidRPr="00F23EC1">
        <w:rPr>
          <w:bCs/>
        </w:rPr>
        <w:t>Стороны обязуются незамедлительно любыми доступными средствами связи сообщать друг другу об ограничениях ЭП в течение 2 (двух) рабочих дней с момента установления таких ограничений, в противном случае, до момента получения такого уведомления Сторона вправе считать ЭП другой Стороны не обремененной какими-либо ограничениями, а документы, подписанные такой ЭП − имеющими полную юридическую силу.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Стороны обязаны по необходимости заблаговременно обновлять сертификаты электронных ключей, а при неисполнении этого обязательства немедленно сообщить другой Стороне о возникшей ситуации, при этом дальнейшие действия Сторон предпринимаются в соответствии с п.</w:t>
      </w:r>
      <w:r w:rsidR="004C4455">
        <w:rPr>
          <w:bCs/>
        </w:rPr>
        <w:t xml:space="preserve"> </w:t>
      </w:r>
      <w:r w:rsidRPr="00F23EC1">
        <w:rPr>
          <w:bCs/>
        </w:rPr>
        <w:t xml:space="preserve">9 настоящего </w:t>
      </w:r>
      <w:r w:rsidR="008A0C07">
        <w:rPr>
          <w:bCs/>
        </w:rPr>
        <w:t>С</w:t>
      </w:r>
      <w:r w:rsidRPr="00F23EC1">
        <w:rPr>
          <w:bCs/>
        </w:rPr>
        <w:t>оглашения.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 xml:space="preserve">Стороны обязаны обеспечивать конфиденциальность Ключей ЭП, в том числе не допускать использование принадлежащих им Ключей ЭП без их согласия. Стороны допускают работников и/или иных уполномоченных к совершению ЭДО лиц, принявших на себя обязательства по обеспечению неразглашения сведений о паролях, секретном ключе ЭП и иных сведений, обеспечивающих конфиденциальность Ключа ЭП, любым третьим лицам. </w:t>
      </w:r>
    </w:p>
    <w:p w:rsidR="006F6A01" w:rsidRPr="00F23EC1" w:rsidRDefault="006F6A01" w:rsidP="006F6A01">
      <w:pPr>
        <w:tabs>
          <w:tab w:val="left" w:pos="0"/>
        </w:tabs>
        <w:autoSpaceDE w:val="0"/>
        <w:autoSpaceDN w:val="0"/>
        <w:ind w:firstLine="284"/>
        <w:jc w:val="both"/>
        <w:rPr>
          <w:bCs/>
        </w:rPr>
      </w:pPr>
      <w:r w:rsidRPr="00F23EC1">
        <w:rPr>
          <w:bCs/>
        </w:rPr>
        <w:t xml:space="preserve">Сторона несет ответственность за нарушение конфиденциальности Ключа ЭП ее работниками и/или иными уполномоченными лицами. Все документы, направленные после нарушения конфиденциальности ключей ЭП, считаются недействительными, подлежат повторному подписанию и направлению в установленном настоящим Соглашением порядке после устранения последствий нарушения конфиденциальности. </w:t>
      </w:r>
    </w:p>
    <w:p w:rsidR="006F6A01" w:rsidRPr="00F23EC1" w:rsidRDefault="006F6A01" w:rsidP="00F00BD9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>Стороны обязаны безотлагательно прекратить ЭДО и не использовать Ключ ЭП при наличии оснований полагать, что конфиденциальность соответствующего Ключа ЭП нарушена. Сторона обязана незамедлительно сообщить получающей Стороне о ставшей ей известном факте нарушения конфиденциальности Ключа ЭП любым доступным способом. При этом дальнейшие действия Сторон предпринимаются в соответствии с п.</w:t>
      </w:r>
      <w:r w:rsidR="004C4455">
        <w:rPr>
          <w:bCs/>
        </w:rPr>
        <w:t xml:space="preserve"> </w:t>
      </w:r>
      <w:r w:rsidRPr="00F23EC1">
        <w:rPr>
          <w:bCs/>
        </w:rPr>
        <w:t xml:space="preserve">9 настоящего </w:t>
      </w:r>
      <w:r w:rsidR="008A0C07">
        <w:rPr>
          <w:bCs/>
        </w:rPr>
        <w:t>С</w:t>
      </w:r>
      <w:r w:rsidRPr="00F23EC1">
        <w:rPr>
          <w:bCs/>
        </w:rPr>
        <w:t>оглашения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lastRenderedPageBreak/>
        <w:t>Стороны подтверждают, что они уведомлены и выражают согласие на то, что одна Сторона для организации ЭДО с другой Стороной может передавать третьим лицам (УЦ/оператор), необходимую контактную информацию, включая, но не ограничиваясь: номера телефонов, почтовые адреса, адреса электронной почты, Ф.И.О. контактного лица и иные контактные данные, предоставленные Сторонами.</w:t>
      </w:r>
    </w:p>
    <w:p w:rsidR="006F6A01" w:rsidRPr="00F23EC1" w:rsidRDefault="006F6A01" w:rsidP="006F6A01">
      <w:pPr>
        <w:tabs>
          <w:tab w:val="left" w:pos="0"/>
          <w:tab w:val="left" w:pos="1418"/>
        </w:tabs>
        <w:autoSpaceDE w:val="0"/>
        <w:autoSpaceDN w:val="0"/>
        <w:ind w:firstLine="284"/>
        <w:jc w:val="both"/>
        <w:rPr>
          <w:bCs/>
        </w:rPr>
      </w:pPr>
      <w:r w:rsidRPr="00F23EC1">
        <w:rPr>
          <w:bCs/>
        </w:rPr>
        <w:t xml:space="preserve">При реализации настоящего </w:t>
      </w:r>
      <w:r w:rsidR="008A0C07">
        <w:rPr>
          <w:bCs/>
        </w:rPr>
        <w:t>С</w:t>
      </w:r>
      <w:r w:rsidRPr="00F23EC1">
        <w:rPr>
          <w:bCs/>
        </w:rPr>
        <w:t>оглашения Стороны обеспечивают конфиденциальность и безопасность персональных данных в соответствии с Федеральным законом от 27.07.2006 № 152-ФЗ "О персональных данных" и Федеральным законом от 27.07.2006 № 149-ФЗ "Об информации, информационных технологиях и о защите информации".</w:t>
      </w:r>
    </w:p>
    <w:p w:rsidR="006F6A01" w:rsidRPr="00F23EC1" w:rsidRDefault="006F6A01" w:rsidP="00F00BD9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>При составлении документов Стороны руководствуются форматами документов, действующими на дату оформления соответствующего документа в соответствии с условиями Договора.</w:t>
      </w:r>
    </w:p>
    <w:p w:rsidR="006F6A01" w:rsidRPr="00F23EC1" w:rsidRDefault="006F6A01" w:rsidP="00F00BD9">
      <w:pPr>
        <w:widowControl w:val="0"/>
        <w:numPr>
          <w:ilvl w:val="0"/>
          <w:numId w:val="4"/>
        </w:numPr>
        <w:ind w:left="0" w:firstLine="284"/>
        <w:contextualSpacing/>
        <w:jc w:val="both"/>
        <w:rPr>
          <w:bCs/>
        </w:rPr>
      </w:pPr>
      <w:r w:rsidRPr="00F23EC1">
        <w:rPr>
          <w:bCs/>
        </w:rPr>
        <w:t>Документ, составленный в электронном виде и соответствующий по составу показателей законодательству РФ о бухгалтерском учете, может являться основанием для формирования Сторонами данных бухгалтерского и налогового учетов и подтверждения доходов и расходов, использоваться в качестве письменных доказательств в судебных разбирательствах, могут предоставляться по мотивированным запросам государственных органов.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Любая из Сторон вправе отказаться от использования ЭДО. В случае отказа Стороны от обмена документами в электронном виде, подписанными ЭП, такая Сторона обязана известить другую Сторону за 30 (тридцать) календарных дней до предполагаемой даты окончания использования ЭДО путем направления другой Стороне письменного уведомления.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>В случае нарушения любой из Сторон условий о конфиденциальности, виновная Сторона, при наличие соответствующего требования, обязана возместить другой Стороне убытки, причиненные ее действиями.</w:t>
      </w:r>
    </w:p>
    <w:p w:rsidR="006F6A01" w:rsidRPr="00F23EC1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F23EC1">
        <w:rPr>
          <w:bCs/>
        </w:rPr>
        <w:t xml:space="preserve">Настоящее </w:t>
      </w:r>
      <w:r w:rsidR="008A0C07">
        <w:rPr>
          <w:bCs/>
        </w:rPr>
        <w:t>С</w:t>
      </w:r>
      <w:r w:rsidRPr="00F23EC1">
        <w:rPr>
          <w:bCs/>
        </w:rPr>
        <w:t>оглашение является безвозмездным.</w:t>
      </w:r>
    </w:p>
    <w:p w:rsidR="006F6A01" w:rsidRPr="004C4455" w:rsidRDefault="006F6A01" w:rsidP="006F6A01">
      <w:pPr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284"/>
        <w:jc w:val="both"/>
        <w:rPr>
          <w:bCs/>
        </w:rPr>
      </w:pPr>
      <w:r w:rsidRPr="004C4455">
        <w:rPr>
          <w:bCs/>
        </w:rPr>
        <w:t>Переход на систему ЭДО по документам, указанным в п.</w:t>
      </w:r>
      <w:r w:rsidR="004C4455">
        <w:rPr>
          <w:bCs/>
        </w:rPr>
        <w:t xml:space="preserve"> </w:t>
      </w:r>
      <w:r w:rsidRPr="004C4455">
        <w:rPr>
          <w:bCs/>
        </w:rPr>
        <w:t xml:space="preserve">1. настоящего </w:t>
      </w:r>
      <w:r w:rsidR="008A0C07">
        <w:rPr>
          <w:bCs/>
        </w:rPr>
        <w:t>С</w:t>
      </w:r>
      <w:r w:rsidRPr="004C4455">
        <w:rPr>
          <w:bCs/>
        </w:rPr>
        <w:t xml:space="preserve">оглашения, осуществляется Сторонами с даты подписания настоящего </w:t>
      </w:r>
      <w:r w:rsidR="008A0C07">
        <w:rPr>
          <w:bCs/>
        </w:rPr>
        <w:t>С</w:t>
      </w:r>
      <w:r w:rsidRPr="004C4455">
        <w:rPr>
          <w:bCs/>
        </w:rPr>
        <w:t>оглашения.</w:t>
      </w:r>
    </w:p>
    <w:p w:rsidR="006F6A01" w:rsidRPr="00F23EC1" w:rsidRDefault="006F6A01" w:rsidP="006F6A01">
      <w:pPr>
        <w:tabs>
          <w:tab w:val="left" w:pos="0"/>
          <w:tab w:val="left" w:pos="1132"/>
        </w:tabs>
        <w:suppressAutoHyphens/>
        <w:jc w:val="both"/>
        <w:rPr>
          <w:lang w:eastAsia="en-US"/>
        </w:rPr>
      </w:pPr>
    </w:p>
    <w:p w:rsidR="00F23EC1" w:rsidRPr="00F23EC1" w:rsidRDefault="00F23EC1" w:rsidP="006F6A01">
      <w:pPr>
        <w:tabs>
          <w:tab w:val="left" w:pos="0"/>
          <w:tab w:val="left" w:pos="1132"/>
        </w:tabs>
        <w:suppressAutoHyphens/>
        <w:jc w:val="both"/>
        <w:rPr>
          <w:lang w:eastAsia="en-US"/>
        </w:rPr>
      </w:pPr>
    </w:p>
    <w:p w:rsidR="00424E50" w:rsidRDefault="00424E50" w:rsidP="00424E50">
      <w:pPr>
        <w:pStyle w:val="ConsNormal"/>
        <w:widowControl/>
        <w:tabs>
          <w:tab w:val="left" w:pos="0"/>
        </w:tabs>
        <w:ind w:left="284" w:firstLine="0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93434">
        <w:rPr>
          <w:rFonts w:ascii="Times New Roman" w:hAnsi="Times New Roman" w:cs="Times New Roman"/>
          <w:b/>
          <w:bCs/>
          <w:sz w:val="23"/>
          <w:szCs w:val="23"/>
        </w:rPr>
        <w:t>ПОДПИСИ СТОРОН:</w:t>
      </w:r>
    </w:p>
    <w:p w:rsidR="008E49C7" w:rsidRPr="007E0E06" w:rsidRDefault="008E49C7" w:rsidP="00424E50">
      <w:pPr>
        <w:pStyle w:val="ConsNormal"/>
        <w:widowControl/>
        <w:tabs>
          <w:tab w:val="left" w:pos="0"/>
        </w:tabs>
        <w:ind w:left="284" w:firstLine="0"/>
        <w:contextualSpacing/>
        <w:jc w:val="center"/>
        <w:rPr>
          <w:rFonts w:ascii="Times New Roman" w:hAnsi="Times New Roman" w:cs="Times New Roman"/>
          <w:bCs/>
          <w:sz w:val="23"/>
          <w:szCs w:val="23"/>
        </w:rPr>
      </w:pPr>
    </w:p>
    <w:tbl>
      <w:tblPr>
        <w:tblpPr w:leftFromText="180" w:rightFromText="180" w:vertAnchor="text" w:horzAnchor="margin" w:tblpY="131"/>
        <w:tblW w:w="8788" w:type="dxa"/>
        <w:tblLayout w:type="fixed"/>
        <w:tblLook w:val="0000" w:firstRow="0" w:lastRow="0" w:firstColumn="0" w:lastColumn="0" w:noHBand="0" w:noVBand="0"/>
      </w:tblPr>
      <w:tblGrid>
        <w:gridCol w:w="4394"/>
        <w:gridCol w:w="4394"/>
      </w:tblGrid>
      <w:tr w:rsidR="008E49C7" w:rsidRPr="00B70FFF" w:rsidTr="008E49C7">
        <w:trPr>
          <w:trHeight w:val="1701"/>
        </w:trPr>
        <w:tc>
          <w:tcPr>
            <w:tcW w:w="4394" w:type="dxa"/>
          </w:tcPr>
          <w:p w:rsidR="008E49C7" w:rsidRPr="00F348FF" w:rsidRDefault="008E49C7" w:rsidP="008E49C7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bCs/>
                <w:sz w:val="24"/>
                <w:szCs w:val="24"/>
              </w:rPr>
            </w:pPr>
            <w:r w:rsidRPr="00F348FF">
              <w:rPr>
                <w:b/>
                <w:bCs/>
                <w:sz w:val="24"/>
                <w:szCs w:val="24"/>
              </w:rPr>
              <w:t>ЗАКАЗЧИК:</w:t>
            </w:r>
          </w:p>
          <w:p w:rsidR="008E49C7" w:rsidRPr="00F348FF" w:rsidRDefault="008E49C7" w:rsidP="008E49C7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bCs/>
                <w:sz w:val="24"/>
                <w:szCs w:val="24"/>
              </w:rPr>
            </w:pPr>
            <w:r w:rsidRPr="00F348FF">
              <w:rPr>
                <w:b/>
                <w:bCs/>
                <w:sz w:val="24"/>
                <w:szCs w:val="24"/>
              </w:rPr>
              <w:t xml:space="preserve">ООО «КАТОБЬНЕФТЬ»                   </w:t>
            </w:r>
          </w:p>
          <w:p w:rsidR="008E49C7" w:rsidRPr="00F348FF" w:rsidRDefault="008E49C7" w:rsidP="008E49C7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bCs/>
                <w:sz w:val="24"/>
                <w:szCs w:val="24"/>
              </w:rPr>
            </w:pPr>
            <w:r w:rsidRPr="00F348FF">
              <w:rPr>
                <w:b/>
                <w:bCs/>
                <w:sz w:val="24"/>
                <w:szCs w:val="24"/>
              </w:rPr>
              <w:t>Исполнительный директор</w:t>
            </w:r>
          </w:p>
          <w:p w:rsidR="008E49C7" w:rsidRPr="00F348FF" w:rsidRDefault="008E49C7" w:rsidP="008E49C7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sz w:val="24"/>
                <w:szCs w:val="24"/>
              </w:rPr>
            </w:pPr>
          </w:p>
          <w:p w:rsidR="008E49C7" w:rsidRPr="00F348FF" w:rsidRDefault="008E49C7" w:rsidP="008E49C7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sz w:val="24"/>
                <w:szCs w:val="24"/>
              </w:rPr>
            </w:pPr>
            <w:r w:rsidRPr="00F348FF">
              <w:rPr>
                <w:b/>
                <w:sz w:val="24"/>
                <w:szCs w:val="24"/>
              </w:rPr>
              <w:t>____________________ /А.А. Трегубов/</w:t>
            </w:r>
          </w:p>
          <w:p w:rsidR="008E49C7" w:rsidRPr="00F348FF" w:rsidRDefault="008E49C7" w:rsidP="008E49C7">
            <w:pPr>
              <w:pStyle w:val="ab"/>
              <w:overflowPunct w:val="0"/>
              <w:autoSpaceDE w:val="0"/>
              <w:autoSpaceDN w:val="0"/>
              <w:adjustRightInd w:val="0"/>
              <w:ind w:left="0"/>
              <w:contextualSpacing/>
              <w:textAlignment w:val="baseline"/>
            </w:pPr>
            <w:r w:rsidRPr="00F348FF">
              <w:t>М.П.</w:t>
            </w:r>
          </w:p>
        </w:tc>
        <w:tc>
          <w:tcPr>
            <w:tcW w:w="4394" w:type="dxa"/>
          </w:tcPr>
          <w:p w:rsidR="008E49C7" w:rsidRPr="00F348FF" w:rsidRDefault="008E49C7" w:rsidP="008E49C7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F348FF">
              <w:rPr>
                <w:b/>
                <w:bCs/>
              </w:rPr>
              <w:t xml:space="preserve">: </w:t>
            </w:r>
          </w:p>
          <w:p w:rsidR="008E49C7" w:rsidRDefault="008E49C7" w:rsidP="008E49C7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  <w:color w:val="000000"/>
              </w:rPr>
            </w:pPr>
          </w:p>
          <w:p w:rsidR="008E49C7" w:rsidRDefault="008E49C7" w:rsidP="008E49C7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</w:p>
          <w:p w:rsidR="008E49C7" w:rsidRPr="00F348FF" w:rsidRDefault="008E49C7" w:rsidP="008E49C7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</w:p>
          <w:p w:rsidR="008E49C7" w:rsidRPr="00F348FF" w:rsidRDefault="008E49C7" w:rsidP="008E49C7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  <w:r w:rsidRPr="00F348FF">
              <w:rPr>
                <w:b/>
                <w:bCs/>
              </w:rPr>
              <w:t>____________________ /</w:t>
            </w:r>
            <w:r>
              <w:rPr>
                <w:b/>
                <w:bCs/>
              </w:rPr>
              <w:t>___________</w:t>
            </w:r>
            <w:r w:rsidRPr="00F348FF">
              <w:rPr>
                <w:b/>
                <w:bCs/>
              </w:rPr>
              <w:t>/</w:t>
            </w:r>
          </w:p>
          <w:p w:rsidR="008E49C7" w:rsidRPr="00F348FF" w:rsidRDefault="008E49C7" w:rsidP="008E49C7">
            <w:pPr>
              <w:pStyle w:val="ab"/>
              <w:overflowPunct w:val="0"/>
              <w:autoSpaceDE w:val="0"/>
              <w:autoSpaceDN w:val="0"/>
              <w:adjustRightInd w:val="0"/>
              <w:ind w:left="0"/>
              <w:contextualSpacing/>
              <w:textAlignment w:val="baseline"/>
            </w:pPr>
            <w:r w:rsidRPr="00F348FF">
              <w:rPr>
                <w:bCs/>
              </w:rPr>
              <w:t>М.П.</w:t>
            </w:r>
          </w:p>
        </w:tc>
      </w:tr>
    </w:tbl>
    <w:p w:rsidR="00F23EC1" w:rsidRPr="00F23EC1" w:rsidRDefault="00F23EC1" w:rsidP="00F23EC1"/>
    <w:p w:rsidR="00F23EC1" w:rsidRPr="00F23EC1" w:rsidRDefault="00F23EC1" w:rsidP="006F6A01">
      <w:pPr>
        <w:tabs>
          <w:tab w:val="left" w:pos="0"/>
          <w:tab w:val="left" w:pos="1132"/>
        </w:tabs>
        <w:suppressAutoHyphens/>
        <w:jc w:val="both"/>
        <w:rPr>
          <w:lang w:eastAsia="en-US"/>
        </w:rPr>
      </w:pPr>
    </w:p>
    <w:p w:rsidR="006F6A01" w:rsidRPr="00F23EC1" w:rsidRDefault="006F6A01" w:rsidP="006F6A01">
      <w:pPr>
        <w:tabs>
          <w:tab w:val="left" w:pos="0"/>
        </w:tabs>
        <w:spacing w:after="160" w:line="259" w:lineRule="auto"/>
        <w:rPr>
          <w:b/>
        </w:rPr>
        <w:sectPr w:rsidR="006F6A01" w:rsidRPr="00F23EC1" w:rsidSect="002C79C9">
          <w:footerReference w:type="default" r:id="rId7"/>
          <w:pgSz w:w="11906" w:h="16838"/>
          <w:pgMar w:top="709" w:right="566" w:bottom="0" w:left="1418" w:header="708" w:footer="708" w:gutter="0"/>
          <w:cols w:space="708"/>
          <w:docGrid w:linePitch="360"/>
        </w:sectPr>
      </w:pPr>
    </w:p>
    <w:p w:rsidR="00424E50" w:rsidRDefault="006F6A01" w:rsidP="006F6A01">
      <w:pPr>
        <w:tabs>
          <w:tab w:val="left" w:pos="0"/>
        </w:tabs>
        <w:autoSpaceDE w:val="0"/>
        <w:autoSpaceDN w:val="0"/>
        <w:adjustRightInd w:val="0"/>
        <w:jc w:val="right"/>
        <w:rPr>
          <w:b/>
        </w:rPr>
      </w:pPr>
      <w:r w:rsidRPr="00F23EC1">
        <w:rPr>
          <w:b/>
        </w:rPr>
        <w:lastRenderedPageBreak/>
        <w:t xml:space="preserve">Приложение № 1 </w:t>
      </w:r>
    </w:p>
    <w:p w:rsidR="006F6A01" w:rsidRPr="00F23EC1" w:rsidRDefault="006F6A01" w:rsidP="006F6A01">
      <w:pPr>
        <w:tabs>
          <w:tab w:val="left" w:pos="0"/>
        </w:tabs>
        <w:autoSpaceDE w:val="0"/>
        <w:autoSpaceDN w:val="0"/>
        <w:adjustRightInd w:val="0"/>
        <w:jc w:val="right"/>
        <w:rPr>
          <w:b/>
        </w:rPr>
      </w:pPr>
      <w:r w:rsidRPr="00F23EC1">
        <w:rPr>
          <w:b/>
        </w:rPr>
        <w:t xml:space="preserve">к </w:t>
      </w:r>
      <w:r w:rsidR="00424E50">
        <w:rPr>
          <w:b/>
        </w:rPr>
        <w:t>С</w:t>
      </w:r>
      <w:r w:rsidRPr="00F23EC1">
        <w:rPr>
          <w:b/>
        </w:rPr>
        <w:t>оглашению</w:t>
      </w:r>
      <w:r w:rsidR="00424E50">
        <w:rPr>
          <w:b/>
        </w:rPr>
        <w:t xml:space="preserve"> о</w:t>
      </w:r>
      <w:r w:rsidRPr="00F23EC1">
        <w:rPr>
          <w:b/>
        </w:rPr>
        <w:t>б электронном документообороте</w:t>
      </w:r>
    </w:p>
    <w:p w:rsidR="006F6A01" w:rsidRPr="00F23EC1" w:rsidRDefault="006F6A01" w:rsidP="006F6A01">
      <w:pPr>
        <w:tabs>
          <w:tab w:val="left" w:pos="0"/>
        </w:tabs>
        <w:autoSpaceDE w:val="0"/>
        <w:autoSpaceDN w:val="0"/>
        <w:adjustRightInd w:val="0"/>
        <w:jc w:val="right"/>
        <w:rPr>
          <w:b/>
        </w:rPr>
      </w:pPr>
    </w:p>
    <w:p w:rsidR="00424E50" w:rsidRDefault="00424E50" w:rsidP="006F6A01">
      <w:pPr>
        <w:tabs>
          <w:tab w:val="left" w:pos="0"/>
        </w:tabs>
        <w:jc w:val="center"/>
        <w:rPr>
          <w:b/>
        </w:rPr>
      </w:pPr>
    </w:p>
    <w:p w:rsidR="006F6A01" w:rsidRPr="00424E50" w:rsidRDefault="006F6A01" w:rsidP="006F6A01">
      <w:pPr>
        <w:tabs>
          <w:tab w:val="left" w:pos="0"/>
        </w:tabs>
        <w:jc w:val="center"/>
        <w:rPr>
          <w:b/>
        </w:rPr>
      </w:pPr>
      <w:r w:rsidRPr="00424E50">
        <w:rPr>
          <w:b/>
        </w:rPr>
        <w:t>ПЕРЕЧЕНЬ И ФОРМАТ ДОКУМЕНТОВ</w:t>
      </w:r>
    </w:p>
    <w:p w:rsidR="006F6A01" w:rsidRPr="00F23EC1" w:rsidRDefault="006F6A01" w:rsidP="006F6A01">
      <w:pPr>
        <w:tabs>
          <w:tab w:val="left" w:pos="0"/>
        </w:tabs>
        <w:jc w:val="both"/>
      </w:pPr>
    </w:p>
    <w:p w:rsidR="006F6A01" w:rsidRPr="00F23EC1" w:rsidRDefault="006F6A01" w:rsidP="006F6A01">
      <w:pPr>
        <w:widowControl w:val="0"/>
        <w:numPr>
          <w:ilvl w:val="0"/>
          <w:numId w:val="5"/>
        </w:numPr>
        <w:tabs>
          <w:tab w:val="left" w:pos="0"/>
        </w:tabs>
        <w:ind w:left="0" w:firstLine="360"/>
        <w:contextualSpacing/>
        <w:jc w:val="both"/>
      </w:pPr>
      <w:r w:rsidRPr="00F23EC1">
        <w:t>Сферу действия Соглашения об организации электронного взаимодействия составляет набор описанных ниже документов, которыми Стороны обмениваются в рамках обязательств, возникших Договору.</w:t>
      </w:r>
    </w:p>
    <w:p w:rsidR="006F6A01" w:rsidRPr="00F23EC1" w:rsidRDefault="006F6A01" w:rsidP="006F6A01">
      <w:pPr>
        <w:tabs>
          <w:tab w:val="left" w:pos="0"/>
        </w:tabs>
        <w:ind w:left="1065"/>
        <w:contextualSpacing/>
      </w:pPr>
    </w:p>
    <w:tbl>
      <w:tblPr>
        <w:tblStyle w:val="a8"/>
        <w:tblW w:w="9918" w:type="dxa"/>
        <w:tblInd w:w="-147" w:type="dxa"/>
        <w:tblLook w:val="04A0" w:firstRow="1" w:lastRow="0" w:firstColumn="1" w:lastColumn="0" w:noHBand="0" w:noVBand="1"/>
      </w:tblPr>
      <w:tblGrid>
        <w:gridCol w:w="4537"/>
        <w:gridCol w:w="5381"/>
      </w:tblGrid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  <w:rPr>
                <w:b/>
              </w:rPr>
            </w:pPr>
            <w:r w:rsidRPr="00F23EC1">
              <w:rPr>
                <w:b/>
              </w:rPr>
              <w:t>Наименование документа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  <w:rPr>
                <w:b/>
              </w:rPr>
            </w:pPr>
            <w:r w:rsidRPr="00F23EC1">
              <w:rPr>
                <w:b/>
              </w:rPr>
              <w:t>Формат документа</w:t>
            </w:r>
          </w:p>
        </w:tc>
      </w:tr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Договор, дополнительные соглашения, приложения, спецификации, заявки, заказы, соглашения о расторжении Договора, соглашения о расторжении/изменении спецификаций, иные соглашения, заключаемые в соответствии с Договором, счета, иными документами бухгалтерского и налогового учета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Неформализованный документ PDF, TIF, JPG, XLS</w:t>
            </w:r>
          </w:p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Могут оформляться на бумажном носителе, в этом случае они подписываются собственноручной подписью и заверяются печатью (при наличии), не дублируются посредством ЭДО.</w:t>
            </w:r>
          </w:p>
        </w:tc>
      </w:tr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Счет-фактура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  <w:rPr>
                <w:lang w:val="en-US"/>
              </w:rPr>
            </w:pPr>
            <w:r w:rsidRPr="00F23EC1">
              <w:t xml:space="preserve">Формализованный документ </w:t>
            </w:r>
            <w:r w:rsidRPr="00F23EC1">
              <w:rPr>
                <w:lang w:val="en-US"/>
              </w:rPr>
              <w:t>XML</w:t>
            </w:r>
          </w:p>
        </w:tc>
      </w:tr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rPr>
                <w:bCs/>
              </w:rPr>
              <w:t>Корректировочный счет-фактура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  <w:rPr>
                <w:lang w:val="en-US"/>
              </w:rPr>
            </w:pPr>
            <w:r w:rsidRPr="00F23EC1">
              <w:t>Формализованный документ</w:t>
            </w:r>
            <w:r w:rsidRPr="00F23EC1">
              <w:rPr>
                <w:lang w:val="en-US"/>
              </w:rPr>
              <w:t xml:space="preserve"> XML</w:t>
            </w:r>
          </w:p>
        </w:tc>
      </w:tr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  <w:rPr>
                <w:lang w:val="en-GB"/>
              </w:rPr>
            </w:pPr>
            <w:proofErr w:type="spellStart"/>
            <w:r w:rsidRPr="00F23EC1">
              <w:rPr>
                <w:lang w:val="en-GB"/>
              </w:rPr>
              <w:t>Универсальный</w:t>
            </w:r>
            <w:proofErr w:type="spellEnd"/>
            <w:r w:rsidRPr="00F23EC1">
              <w:rPr>
                <w:lang w:val="en-GB"/>
              </w:rPr>
              <w:t xml:space="preserve"> </w:t>
            </w:r>
            <w:proofErr w:type="spellStart"/>
            <w:r w:rsidRPr="00F23EC1">
              <w:rPr>
                <w:lang w:val="en-GB"/>
              </w:rPr>
              <w:t>передаточный</w:t>
            </w:r>
            <w:proofErr w:type="spellEnd"/>
            <w:r w:rsidRPr="00F23EC1">
              <w:rPr>
                <w:lang w:val="en-GB"/>
              </w:rPr>
              <w:t xml:space="preserve"> </w:t>
            </w:r>
            <w:proofErr w:type="spellStart"/>
            <w:r w:rsidRPr="00F23EC1">
              <w:rPr>
                <w:lang w:val="en-GB"/>
              </w:rPr>
              <w:t>документ</w:t>
            </w:r>
            <w:proofErr w:type="spellEnd"/>
            <w:r w:rsidRPr="00F23EC1">
              <w:rPr>
                <w:lang w:val="en-GB"/>
              </w:rPr>
              <w:t xml:space="preserve"> (УПД)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Формализованный документ XML</w:t>
            </w:r>
          </w:p>
        </w:tc>
      </w:tr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  <w:rPr>
                <w:lang w:val="en-GB"/>
              </w:rPr>
            </w:pPr>
            <w:r w:rsidRPr="00F23EC1">
              <w:t>К</w:t>
            </w:r>
            <w:proofErr w:type="spellStart"/>
            <w:r w:rsidRPr="00F23EC1">
              <w:rPr>
                <w:lang w:val="en-GB"/>
              </w:rPr>
              <w:t>орректировочный</w:t>
            </w:r>
            <w:proofErr w:type="spellEnd"/>
            <w:r w:rsidRPr="00F23EC1">
              <w:rPr>
                <w:lang w:val="en-GB"/>
              </w:rPr>
              <w:t xml:space="preserve"> УПД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Формализованный документ XML</w:t>
            </w:r>
          </w:p>
        </w:tc>
      </w:tr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Товарные накладные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Формализованный документ XML</w:t>
            </w:r>
          </w:p>
        </w:tc>
      </w:tr>
      <w:tr w:rsidR="006F6A01" w:rsidRPr="00F23EC1" w:rsidTr="00A230C1"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Акт выполненных работ (оказанных услуг), Корректировочный акт выполненных работ (оказанных услуг)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 xml:space="preserve">Неформализованный документ </w:t>
            </w:r>
            <w:r w:rsidRPr="00F23EC1">
              <w:rPr>
                <w:lang w:val="en-US"/>
              </w:rPr>
              <w:t>PDF</w:t>
            </w:r>
            <w:r w:rsidRPr="00F23EC1">
              <w:t xml:space="preserve">, </w:t>
            </w:r>
            <w:r w:rsidRPr="00F23EC1">
              <w:rPr>
                <w:lang w:val="en-US"/>
              </w:rPr>
              <w:t>XLS</w:t>
            </w:r>
          </w:p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ФНС России рекомендовано предоставление акта выполненных работ (оказанных услуг) в формализованном формате (XML-формат) – применяется для актов оказания услуг, форма, которых не согласована сторонами договора</w:t>
            </w:r>
          </w:p>
        </w:tc>
      </w:tr>
      <w:tr w:rsidR="006F6A01" w:rsidRPr="00F23EC1" w:rsidTr="00A230C1">
        <w:trPr>
          <w:trHeight w:val="494"/>
        </w:trPr>
        <w:tc>
          <w:tcPr>
            <w:tcW w:w="4537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Акт сверки</w:t>
            </w:r>
          </w:p>
        </w:tc>
        <w:tc>
          <w:tcPr>
            <w:tcW w:w="5381" w:type="dxa"/>
          </w:tcPr>
          <w:p w:rsidR="006F6A01" w:rsidRPr="00F23EC1" w:rsidRDefault="006F6A01" w:rsidP="006F6A01">
            <w:pPr>
              <w:tabs>
                <w:tab w:val="left" w:pos="0"/>
              </w:tabs>
              <w:contextualSpacing/>
            </w:pPr>
            <w:r w:rsidRPr="00F23EC1">
              <w:t>Неформализованный документ PDF, XLS</w:t>
            </w:r>
          </w:p>
        </w:tc>
      </w:tr>
    </w:tbl>
    <w:p w:rsidR="006F6A01" w:rsidRPr="00F23EC1" w:rsidRDefault="006F6A01" w:rsidP="006F6A01">
      <w:pPr>
        <w:tabs>
          <w:tab w:val="left" w:pos="0"/>
        </w:tabs>
        <w:ind w:left="1065"/>
        <w:contextualSpacing/>
        <w:jc w:val="both"/>
      </w:pPr>
    </w:p>
    <w:p w:rsidR="006F6A01" w:rsidRDefault="006F6A01" w:rsidP="006F6A01">
      <w:pPr>
        <w:widowControl w:val="0"/>
        <w:numPr>
          <w:ilvl w:val="0"/>
          <w:numId w:val="5"/>
        </w:numPr>
        <w:tabs>
          <w:tab w:val="left" w:pos="0"/>
        </w:tabs>
        <w:ind w:left="0" w:firstLine="426"/>
        <w:contextualSpacing/>
        <w:jc w:val="both"/>
      </w:pPr>
      <w:r w:rsidRPr="00F23EC1">
        <w:t>Электронные документы подписываются в сроки, установленные Договором для подписания аналогичных документов, оформленных на бумажных носителях информации. К электронным документам применяются также иные условия, предусмотренные Договором, относящиеся к аналогичным документам на бумажных носителях, за исключением положений, противоречащих сущности электронного документооборота.</w:t>
      </w:r>
    </w:p>
    <w:p w:rsidR="00424E50" w:rsidRPr="00F23EC1" w:rsidRDefault="00424E50" w:rsidP="00424E50">
      <w:pPr>
        <w:widowControl w:val="0"/>
        <w:tabs>
          <w:tab w:val="left" w:pos="0"/>
        </w:tabs>
        <w:ind w:left="426"/>
        <w:contextualSpacing/>
        <w:jc w:val="both"/>
      </w:pPr>
    </w:p>
    <w:p w:rsidR="006F6A01" w:rsidRPr="00F23EC1" w:rsidRDefault="006F6A01" w:rsidP="006F6A01">
      <w:pPr>
        <w:tabs>
          <w:tab w:val="left" w:pos="0"/>
        </w:tabs>
        <w:jc w:val="both"/>
      </w:pPr>
    </w:p>
    <w:p w:rsidR="00424E50" w:rsidRDefault="00424E50" w:rsidP="00424E50">
      <w:pPr>
        <w:pStyle w:val="ConsNormal"/>
        <w:widowControl/>
        <w:tabs>
          <w:tab w:val="left" w:pos="0"/>
        </w:tabs>
        <w:ind w:left="284" w:firstLine="0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93434">
        <w:rPr>
          <w:rFonts w:ascii="Times New Roman" w:hAnsi="Times New Roman" w:cs="Times New Roman"/>
          <w:b/>
          <w:bCs/>
          <w:sz w:val="23"/>
          <w:szCs w:val="23"/>
        </w:rPr>
        <w:t>ПОДПИСИ СТОРОН:</w:t>
      </w:r>
    </w:p>
    <w:p w:rsidR="008E49C7" w:rsidRPr="007E0E06" w:rsidRDefault="008E49C7" w:rsidP="00424E50">
      <w:pPr>
        <w:pStyle w:val="ConsNormal"/>
        <w:widowControl/>
        <w:tabs>
          <w:tab w:val="left" w:pos="0"/>
        </w:tabs>
        <w:ind w:left="284" w:firstLine="0"/>
        <w:contextualSpacing/>
        <w:jc w:val="center"/>
        <w:rPr>
          <w:rFonts w:ascii="Times New Roman" w:hAnsi="Times New Roman" w:cs="Times New Roman"/>
          <w:bCs/>
          <w:sz w:val="23"/>
          <w:szCs w:val="23"/>
        </w:rPr>
      </w:pPr>
      <w:bookmarkStart w:id="0" w:name="_GoBack"/>
      <w:bookmarkEnd w:id="0"/>
    </w:p>
    <w:tbl>
      <w:tblPr>
        <w:tblpPr w:leftFromText="180" w:rightFromText="180" w:vertAnchor="text" w:horzAnchor="margin" w:tblpY="131"/>
        <w:tblW w:w="8788" w:type="dxa"/>
        <w:tblLayout w:type="fixed"/>
        <w:tblLook w:val="0000" w:firstRow="0" w:lastRow="0" w:firstColumn="0" w:lastColumn="0" w:noHBand="0" w:noVBand="0"/>
      </w:tblPr>
      <w:tblGrid>
        <w:gridCol w:w="4394"/>
        <w:gridCol w:w="4394"/>
      </w:tblGrid>
      <w:tr w:rsidR="008E49C7" w:rsidRPr="00B70FFF" w:rsidTr="008E68AB">
        <w:trPr>
          <w:trHeight w:val="1701"/>
        </w:trPr>
        <w:tc>
          <w:tcPr>
            <w:tcW w:w="4394" w:type="dxa"/>
          </w:tcPr>
          <w:p w:rsidR="008E49C7" w:rsidRPr="00F348FF" w:rsidRDefault="008E49C7" w:rsidP="008E68AB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bCs/>
                <w:sz w:val="24"/>
                <w:szCs w:val="24"/>
              </w:rPr>
            </w:pPr>
            <w:r w:rsidRPr="00F348FF">
              <w:rPr>
                <w:b/>
                <w:bCs/>
                <w:sz w:val="24"/>
                <w:szCs w:val="24"/>
              </w:rPr>
              <w:t>ЗАКАЗЧИК:</w:t>
            </w:r>
          </w:p>
          <w:p w:rsidR="008E49C7" w:rsidRPr="00F348FF" w:rsidRDefault="008E49C7" w:rsidP="008E68AB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bCs/>
                <w:sz w:val="24"/>
                <w:szCs w:val="24"/>
              </w:rPr>
            </w:pPr>
            <w:r w:rsidRPr="00F348FF">
              <w:rPr>
                <w:b/>
                <w:bCs/>
                <w:sz w:val="24"/>
                <w:szCs w:val="24"/>
              </w:rPr>
              <w:t xml:space="preserve">ООО «КАТОБЬНЕФТЬ»                   </w:t>
            </w:r>
          </w:p>
          <w:p w:rsidR="008E49C7" w:rsidRPr="00F348FF" w:rsidRDefault="008E49C7" w:rsidP="008E68AB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bCs/>
                <w:sz w:val="24"/>
                <w:szCs w:val="24"/>
              </w:rPr>
            </w:pPr>
            <w:r w:rsidRPr="00F348FF">
              <w:rPr>
                <w:b/>
                <w:bCs/>
                <w:sz w:val="24"/>
                <w:szCs w:val="24"/>
              </w:rPr>
              <w:t>Исполнительный директор</w:t>
            </w:r>
          </w:p>
          <w:p w:rsidR="008E49C7" w:rsidRPr="00F348FF" w:rsidRDefault="008E49C7" w:rsidP="008E68AB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sz w:val="24"/>
                <w:szCs w:val="24"/>
              </w:rPr>
            </w:pPr>
          </w:p>
          <w:p w:rsidR="008E49C7" w:rsidRPr="00F348FF" w:rsidRDefault="008E49C7" w:rsidP="008E68AB">
            <w:pPr>
              <w:pStyle w:val="1"/>
              <w:overflowPunct w:val="0"/>
              <w:ind w:firstLine="0"/>
              <w:contextualSpacing/>
              <w:textAlignment w:val="baseline"/>
              <w:rPr>
                <w:b/>
                <w:sz w:val="24"/>
                <w:szCs w:val="24"/>
              </w:rPr>
            </w:pPr>
            <w:r w:rsidRPr="00F348FF">
              <w:rPr>
                <w:b/>
                <w:sz w:val="24"/>
                <w:szCs w:val="24"/>
              </w:rPr>
              <w:t>____________________ /А.А. Трегубов/</w:t>
            </w:r>
          </w:p>
          <w:p w:rsidR="008E49C7" w:rsidRPr="00F348FF" w:rsidRDefault="008E49C7" w:rsidP="008E68AB">
            <w:pPr>
              <w:pStyle w:val="ab"/>
              <w:overflowPunct w:val="0"/>
              <w:autoSpaceDE w:val="0"/>
              <w:autoSpaceDN w:val="0"/>
              <w:adjustRightInd w:val="0"/>
              <w:ind w:left="0"/>
              <w:contextualSpacing/>
              <w:textAlignment w:val="baseline"/>
            </w:pPr>
            <w:r w:rsidRPr="00F348FF">
              <w:t>М.П.</w:t>
            </w:r>
          </w:p>
        </w:tc>
        <w:tc>
          <w:tcPr>
            <w:tcW w:w="4394" w:type="dxa"/>
          </w:tcPr>
          <w:p w:rsidR="008E49C7" w:rsidRPr="00F348FF" w:rsidRDefault="008E49C7" w:rsidP="008E68AB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Pr="00F348FF">
              <w:rPr>
                <w:b/>
                <w:bCs/>
              </w:rPr>
              <w:t xml:space="preserve">: </w:t>
            </w:r>
          </w:p>
          <w:p w:rsidR="008E49C7" w:rsidRDefault="008E49C7" w:rsidP="008E68AB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  <w:color w:val="000000"/>
              </w:rPr>
            </w:pPr>
          </w:p>
          <w:p w:rsidR="008E49C7" w:rsidRDefault="008E49C7" w:rsidP="008E68AB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</w:p>
          <w:p w:rsidR="008E49C7" w:rsidRPr="00F348FF" w:rsidRDefault="008E49C7" w:rsidP="008E68AB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</w:p>
          <w:p w:rsidR="008E49C7" w:rsidRPr="00F348FF" w:rsidRDefault="008E49C7" w:rsidP="008E68AB">
            <w:pPr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b/>
                <w:bCs/>
              </w:rPr>
            </w:pPr>
            <w:r w:rsidRPr="00F348FF">
              <w:rPr>
                <w:b/>
                <w:bCs/>
              </w:rPr>
              <w:t>____________________ /</w:t>
            </w:r>
            <w:r>
              <w:rPr>
                <w:b/>
                <w:bCs/>
              </w:rPr>
              <w:t>___________</w:t>
            </w:r>
            <w:r w:rsidRPr="00F348FF">
              <w:rPr>
                <w:b/>
                <w:bCs/>
              </w:rPr>
              <w:t>/</w:t>
            </w:r>
          </w:p>
          <w:p w:rsidR="008E49C7" w:rsidRPr="00F348FF" w:rsidRDefault="008E49C7" w:rsidP="008E68AB">
            <w:pPr>
              <w:pStyle w:val="ab"/>
              <w:overflowPunct w:val="0"/>
              <w:autoSpaceDE w:val="0"/>
              <w:autoSpaceDN w:val="0"/>
              <w:adjustRightInd w:val="0"/>
              <w:ind w:left="0"/>
              <w:contextualSpacing/>
              <w:textAlignment w:val="baseline"/>
            </w:pPr>
            <w:r w:rsidRPr="00F348FF">
              <w:rPr>
                <w:bCs/>
              </w:rPr>
              <w:t>М.П.</w:t>
            </w:r>
          </w:p>
        </w:tc>
      </w:tr>
    </w:tbl>
    <w:p w:rsidR="00F23EC1" w:rsidRPr="00F23EC1" w:rsidRDefault="00F23EC1" w:rsidP="00216B01">
      <w:pPr>
        <w:tabs>
          <w:tab w:val="left" w:pos="0"/>
        </w:tabs>
        <w:jc w:val="both"/>
      </w:pPr>
    </w:p>
    <w:sectPr w:rsidR="00F23EC1" w:rsidRPr="00F23EC1" w:rsidSect="00F00BD9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351" w:rsidRDefault="00ED5351">
      <w:r>
        <w:separator/>
      </w:r>
    </w:p>
  </w:endnote>
  <w:endnote w:type="continuationSeparator" w:id="0">
    <w:p w:rsidR="00ED5351" w:rsidRDefault="00ED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19E" w:rsidRPr="001C679F" w:rsidRDefault="008E49C7">
    <w:pPr>
      <w:pStyle w:val="a6"/>
      <w:jc w:val="right"/>
      <w:rPr>
        <w:i/>
        <w:sz w:val="20"/>
        <w:szCs w:val="20"/>
      </w:rPr>
    </w:pPr>
  </w:p>
  <w:p w:rsidR="0057619E" w:rsidRDefault="008E49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351" w:rsidRDefault="00ED5351">
      <w:r>
        <w:separator/>
      </w:r>
    </w:p>
  </w:footnote>
  <w:footnote w:type="continuationSeparator" w:id="0">
    <w:p w:rsidR="00ED5351" w:rsidRDefault="00ED5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4046"/>
    <w:multiLevelType w:val="multilevel"/>
    <w:tmpl w:val="46AC9D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42B0550"/>
    <w:multiLevelType w:val="hybridMultilevel"/>
    <w:tmpl w:val="524215DA"/>
    <w:lvl w:ilvl="0" w:tplc="502E4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F33463"/>
    <w:multiLevelType w:val="hybridMultilevel"/>
    <w:tmpl w:val="DB3E71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D44510"/>
    <w:multiLevelType w:val="hybridMultilevel"/>
    <w:tmpl w:val="95DED670"/>
    <w:lvl w:ilvl="0" w:tplc="4984D15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A8"/>
    <w:rsid w:val="001F43CB"/>
    <w:rsid w:val="00216B01"/>
    <w:rsid w:val="00261BB2"/>
    <w:rsid w:val="002C79C9"/>
    <w:rsid w:val="0034773E"/>
    <w:rsid w:val="00424E50"/>
    <w:rsid w:val="0044489A"/>
    <w:rsid w:val="0045183C"/>
    <w:rsid w:val="004C4455"/>
    <w:rsid w:val="004D1335"/>
    <w:rsid w:val="004D78C4"/>
    <w:rsid w:val="004F0B25"/>
    <w:rsid w:val="00562DB3"/>
    <w:rsid w:val="006F6A01"/>
    <w:rsid w:val="008A0C07"/>
    <w:rsid w:val="008E49C7"/>
    <w:rsid w:val="00963F24"/>
    <w:rsid w:val="00991F64"/>
    <w:rsid w:val="009922A8"/>
    <w:rsid w:val="009B5AFE"/>
    <w:rsid w:val="009D3FBF"/>
    <w:rsid w:val="009F4C1A"/>
    <w:rsid w:val="00A06A17"/>
    <w:rsid w:val="00A42845"/>
    <w:rsid w:val="00AF5509"/>
    <w:rsid w:val="00AF75A2"/>
    <w:rsid w:val="00B10F41"/>
    <w:rsid w:val="00BE62E5"/>
    <w:rsid w:val="00C42C29"/>
    <w:rsid w:val="00CA54E8"/>
    <w:rsid w:val="00D05F4F"/>
    <w:rsid w:val="00ED5351"/>
    <w:rsid w:val="00F00BD9"/>
    <w:rsid w:val="00F23EC1"/>
    <w:rsid w:val="00F5104F"/>
    <w:rsid w:val="00F7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0CC57"/>
  <w15:chartTrackingRefBased/>
  <w15:docId w15:val="{9FB36E3B-EFB5-46E4-8795-43DEA84E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735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356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F73569"/>
    <w:pPr>
      <w:jc w:val="both"/>
    </w:pPr>
    <w:rPr>
      <w:rFonts w:ascii="Arial" w:hAnsi="Arial"/>
      <w:sz w:val="18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F73569"/>
    <w:rPr>
      <w:rFonts w:ascii="Arial" w:eastAsia="Times New Roman" w:hAnsi="Arial" w:cs="Times New Roman"/>
      <w:sz w:val="18"/>
      <w:szCs w:val="20"/>
      <w:lang w:val="en-US"/>
    </w:rPr>
  </w:style>
  <w:style w:type="paragraph" w:styleId="a5">
    <w:name w:val="List Paragraph"/>
    <w:basedOn w:val="a"/>
    <w:uiPriority w:val="34"/>
    <w:qFormat/>
    <w:rsid w:val="009D3FB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F6A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6A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6F6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E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tabind">
    <w:name w:val="databind"/>
    <w:rsid w:val="004F0B25"/>
  </w:style>
  <w:style w:type="paragraph" w:styleId="a9">
    <w:name w:val="header"/>
    <w:basedOn w:val="a"/>
    <w:link w:val="aa"/>
    <w:uiPriority w:val="99"/>
    <w:unhideWhenUsed/>
    <w:rsid w:val="003477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7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424E5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24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24E50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link w:val="10"/>
    <w:rsid w:val="00424E50"/>
    <w:pPr>
      <w:widowControl w:val="0"/>
      <w:suppressAutoHyphens/>
      <w:autoSpaceDE w:val="0"/>
      <w:ind w:firstLine="567"/>
      <w:jc w:val="both"/>
    </w:pPr>
    <w:rPr>
      <w:sz w:val="26"/>
      <w:szCs w:val="26"/>
      <w:lang w:eastAsia="zh-CN"/>
    </w:rPr>
  </w:style>
  <w:style w:type="character" w:customStyle="1" w:styleId="10">
    <w:name w:val="Стиль1 Знак"/>
    <w:link w:val="1"/>
    <w:rsid w:val="00424E50"/>
    <w:rPr>
      <w:rFonts w:ascii="Times New Roman" w:eastAsia="Times New Roman" w:hAnsi="Times New Roman" w:cs="Times New Roman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Sharovkina Oksana</dc:creator>
  <cp:keywords/>
  <dc:description/>
  <cp:lastModifiedBy>Kolesnikova Lyudmila</cp:lastModifiedBy>
  <cp:revision>28</cp:revision>
  <dcterms:created xsi:type="dcterms:W3CDTF">2020-11-10T09:20:00Z</dcterms:created>
  <dcterms:modified xsi:type="dcterms:W3CDTF">2024-09-25T04:32:00Z</dcterms:modified>
</cp:coreProperties>
</file>